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ACD" w:rsidRDefault="00566ACD" w:rsidP="00664A36">
      <w:pPr>
        <w:rPr>
          <w:rFonts w:ascii="Margot" w:hAnsi="Margot"/>
        </w:rPr>
      </w:pPr>
    </w:p>
    <w:p w:rsidR="00664A36" w:rsidRDefault="00664A36" w:rsidP="00664A36">
      <w:pPr>
        <w:rPr>
          <w:rFonts w:ascii="Margot" w:hAnsi="Margot"/>
        </w:rPr>
      </w:pPr>
    </w:p>
    <w:p w:rsidR="00664A36" w:rsidRDefault="00664A36" w:rsidP="00664A36">
      <w:pPr>
        <w:rPr>
          <w:rFonts w:ascii="Margot" w:hAnsi="Margot"/>
        </w:rPr>
      </w:pPr>
    </w:p>
    <w:p w:rsidR="00664A36" w:rsidRDefault="00F56808" w:rsidP="00664A36">
      <w:pPr>
        <w:rPr>
          <w:rFonts w:ascii="Margot Reg" w:hAnsi="Margot Reg"/>
        </w:rPr>
      </w:pPr>
      <w:r>
        <w:rPr>
          <w:rFonts w:ascii="Margot Reg" w:hAnsi="Margot Reg"/>
        </w:rPr>
        <w:t>Split, 28.siječanj 2015.godine</w:t>
      </w:r>
    </w:p>
    <w:p w:rsidR="00F56808" w:rsidRDefault="00F56808" w:rsidP="00664A36">
      <w:pPr>
        <w:rPr>
          <w:rFonts w:ascii="Margot Reg" w:hAnsi="Margot Reg"/>
        </w:rPr>
      </w:pPr>
    </w:p>
    <w:p w:rsidR="00F56808" w:rsidRDefault="00F56808" w:rsidP="00664A36">
      <w:pPr>
        <w:rPr>
          <w:rFonts w:ascii="Margot Reg" w:hAnsi="Margot Reg"/>
        </w:rPr>
      </w:pPr>
    </w:p>
    <w:p w:rsidR="00F56808" w:rsidRDefault="00F56808" w:rsidP="00664A36">
      <w:pPr>
        <w:rPr>
          <w:rFonts w:ascii="Margot Reg" w:hAnsi="Margot Reg"/>
        </w:rPr>
      </w:pPr>
    </w:p>
    <w:p w:rsidR="00F56808" w:rsidRDefault="00F56808" w:rsidP="00664A36">
      <w:pPr>
        <w:rPr>
          <w:rFonts w:ascii="Margot Reg" w:hAnsi="Margot Reg"/>
          <w:sz w:val="28"/>
          <w:szCs w:val="28"/>
        </w:rPr>
      </w:pPr>
      <w:r>
        <w:rPr>
          <w:rFonts w:ascii="Margot Reg" w:hAnsi="Margot Reg"/>
          <w:sz w:val="28"/>
          <w:szCs w:val="28"/>
        </w:rPr>
        <w:tab/>
      </w:r>
      <w:r>
        <w:rPr>
          <w:rFonts w:ascii="Margot Reg" w:hAnsi="Margot Reg"/>
          <w:sz w:val="28"/>
          <w:szCs w:val="28"/>
        </w:rPr>
        <w:tab/>
      </w:r>
      <w:r>
        <w:rPr>
          <w:rFonts w:ascii="Margot Reg" w:hAnsi="Margot Reg"/>
          <w:sz w:val="28"/>
          <w:szCs w:val="28"/>
        </w:rPr>
        <w:tab/>
      </w:r>
      <w:r>
        <w:rPr>
          <w:rFonts w:ascii="Margot Reg" w:hAnsi="Margot Reg"/>
          <w:sz w:val="28"/>
          <w:szCs w:val="28"/>
        </w:rPr>
        <w:tab/>
      </w:r>
    </w:p>
    <w:p w:rsidR="00F56808" w:rsidRDefault="00F56808" w:rsidP="00664A36">
      <w:pPr>
        <w:rPr>
          <w:rFonts w:ascii="Margot Reg" w:hAnsi="Margot Reg"/>
          <w:sz w:val="28"/>
          <w:szCs w:val="28"/>
        </w:rPr>
      </w:pPr>
    </w:p>
    <w:p w:rsidR="00F56808" w:rsidRDefault="00F56808" w:rsidP="00664A36">
      <w:pPr>
        <w:rPr>
          <w:rFonts w:ascii="Margot Reg" w:hAnsi="Margot Reg"/>
          <w:b/>
          <w:sz w:val="28"/>
          <w:szCs w:val="28"/>
        </w:rPr>
      </w:pPr>
      <w:r>
        <w:rPr>
          <w:rFonts w:ascii="Margot Reg" w:hAnsi="Margot Reg"/>
          <w:sz w:val="28"/>
          <w:szCs w:val="28"/>
        </w:rPr>
        <w:tab/>
      </w:r>
      <w:r>
        <w:rPr>
          <w:rFonts w:ascii="Margot Reg" w:hAnsi="Margot Reg"/>
          <w:sz w:val="28"/>
          <w:szCs w:val="28"/>
        </w:rPr>
        <w:tab/>
      </w:r>
      <w:r>
        <w:rPr>
          <w:rFonts w:ascii="Margot Reg" w:hAnsi="Margot Reg"/>
          <w:sz w:val="28"/>
          <w:szCs w:val="28"/>
        </w:rPr>
        <w:tab/>
        <w:t xml:space="preserve">      </w:t>
      </w:r>
      <w:r w:rsidR="005F0236">
        <w:rPr>
          <w:rFonts w:ascii="Margot Reg" w:hAnsi="Margot Reg"/>
          <w:sz w:val="28"/>
          <w:szCs w:val="28"/>
        </w:rPr>
        <w:t xml:space="preserve"> </w:t>
      </w:r>
      <w:r w:rsidR="00934353">
        <w:rPr>
          <w:rFonts w:ascii="Margot Reg" w:hAnsi="Margot Reg"/>
          <w:sz w:val="28"/>
          <w:szCs w:val="28"/>
        </w:rPr>
        <w:t xml:space="preserve"> </w:t>
      </w:r>
      <w:r>
        <w:rPr>
          <w:rFonts w:ascii="Margot Reg" w:hAnsi="Margot Reg"/>
          <w:b/>
          <w:sz w:val="28"/>
          <w:szCs w:val="28"/>
        </w:rPr>
        <w:t xml:space="preserve">JAVNA  RASPRAVA </w:t>
      </w:r>
    </w:p>
    <w:p w:rsidR="00F56808" w:rsidRDefault="00F56808" w:rsidP="00664A36">
      <w:pPr>
        <w:rPr>
          <w:rFonts w:ascii="Margot Reg" w:hAnsi="Margot Reg"/>
          <w:b/>
        </w:rPr>
      </w:pPr>
      <w:r>
        <w:rPr>
          <w:rFonts w:ascii="Margot Reg" w:hAnsi="Margot Reg"/>
          <w:b/>
        </w:rPr>
        <w:t xml:space="preserve">  Analiza tržišta završavanja glasovnih poziva u vlastitoj mobilnoj mreži</w:t>
      </w:r>
    </w:p>
    <w:p w:rsidR="00F56808" w:rsidRDefault="00F56808" w:rsidP="00664A36">
      <w:pPr>
        <w:rPr>
          <w:rFonts w:ascii="Margot Reg" w:hAnsi="Margot Reg"/>
          <w:b/>
        </w:rPr>
      </w:pPr>
    </w:p>
    <w:p w:rsidR="00F56808" w:rsidRDefault="00F56808" w:rsidP="00F56808">
      <w:pPr>
        <w:jc w:val="both"/>
        <w:rPr>
          <w:rFonts w:ascii="Margot Reg" w:hAnsi="Margot Reg"/>
          <w:b/>
        </w:rPr>
      </w:pPr>
    </w:p>
    <w:p w:rsidR="00F56808" w:rsidRDefault="00F56808" w:rsidP="00F56808">
      <w:pPr>
        <w:jc w:val="both"/>
        <w:rPr>
          <w:rFonts w:ascii="Margot Reg" w:hAnsi="Margot Reg"/>
          <w:b/>
        </w:rPr>
      </w:pPr>
    </w:p>
    <w:p w:rsidR="00F56808" w:rsidRDefault="00F56808" w:rsidP="00F56808">
      <w:pPr>
        <w:jc w:val="both"/>
        <w:rPr>
          <w:rFonts w:ascii="Margot Reg" w:hAnsi="Margot Reg"/>
        </w:rPr>
      </w:pPr>
      <w:r w:rsidRPr="00CD089B">
        <w:rPr>
          <w:rFonts w:ascii="Margot Reg" w:hAnsi="Margot Reg"/>
        </w:rPr>
        <w:t xml:space="preserve">H1 Telekom d.d. dostavlja svoje komentare s prijedlozima </w:t>
      </w:r>
      <w:r>
        <w:rPr>
          <w:rFonts w:ascii="Margot Reg" w:hAnsi="Margot Reg"/>
        </w:rPr>
        <w:t>u okviru Javne rasprave- Analiza tržišta završavanja glasovnih poziva u vlastitoj mobilnoj mreži.</w:t>
      </w:r>
    </w:p>
    <w:p w:rsidR="00F56808" w:rsidRDefault="00F56808" w:rsidP="00F56808">
      <w:pPr>
        <w:jc w:val="both"/>
        <w:rPr>
          <w:rFonts w:ascii="Margot Reg" w:hAnsi="Margot Reg"/>
        </w:rPr>
      </w:pPr>
    </w:p>
    <w:p w:rsidR="00F56808" w:rsidRDefault="00F56808" w:rsidP="00F56808">
      <w:pPr>
        <w:jc w:val="both"/>
        <w:rPr>
          <w:rFonts w:ascii="Margot Reg" w:hAnsi="Margot Reg"/>
        </w:rPr>
      </w:pPr>
      <w:r>
        <w:rPr>
          <w:rFonts w:ascii="Margot Reg" w:hAnsi="Margot Reg"/>
        </w:rPr>
        <w:t xml:space="preserve">Prvenstveno želimo naglasiti kako H1 Telekom d.d. pozdravlja prijedlog Odluke kojim se uređuje mjerodavno tržište završavanja glasovnih poziva u vlastitoj mobilnoj mreži, nastavno na dokument HAKOM-a Analiza tržišta završavanja glasovnih poziva u vlastitoj mobilnoj mreži </w:t>
      </w:r>
      <w:r w:rsidR="00E66D6C">
        <w:rPr>
          <w:rFonts w:ascii="Margot Reg" w:hAnsi="Margot Reg"/>
        </w:rPr>
        <w:t>koja je sastavni dio naprijed navedene Odluke.</w:t>
      </w:r>
    </w:p>
    <w:p w:rsidR="00E66D6C" w:rsidRDefault="00E66D6C" w:rsidP="00F56808">
      <w:pPr>
        <w:jc w:val="both"/>
        <w:rPr>
          <w:rFonts w:ascii="Margot Reg" w:hAnsi="Margot Reg"/>
        </w:rPr>
      </w:pPr>
    </w:p>
    <w:p w:rsidR="00E66D6C" w:rsidRDefault="00E66D6C" w:rsidP="00F56808">
      <w:pPr>
        <w:jc w:val="both"/>
        <w:rPr>
          <w:rFonts w:ascii="Margot Reg" w:hAnsi="Margot Reg"/>
        </w:rPr>
      </w:pPr>
    </w:p>
    <w:p w:rsidR="00E66D6C" w:rsidRDefault="00E66D6C" w:rsidP="00E66D6C">
      <w:pPr>
        <w:numPr>
          <w:ilvl w:val="0"/>
          <w:numId w:val="1"/>
        </w:numPr>
        <w:jc w:val="both"/>
      </w:pPr>
      <w:r w:rsidRPr="00E66D6C">
        <w:rPr>
          <w:rFonts w:ascii="Margot Reg" w:hAnsi="Margot Reg"/>
          <w:b/>
        </w:rPr>
        <w:t>Poglavlje 6.6. Neravnopravni položaj hrvatskih operatora pokretnih mreža u odnosu na operatore izvan EU/EEA zemalja</w:t>
      </w:r>
    </w:p>
    <w:p w:rsidR="00E66D6C" w:rsidRPr="00E66D6C" w:rsidRDefault="00E66D6C" w:rsidP="00E66D6C">
      <w:pPr>
        <w:ind w:left="360"/>
        <w:jc w:val="both"/>
        <w:rPr>
          <w:rFonts w:ascii="Margot Reg" w:hAnsi="Margot Reg"/>
        </w:rPr>
      </w:pPr>
    </w:p>
    <w:p w:rsidR="00E66D6C" w:rsidRDefault="004B0034" w:rsidP="00E66D6C">
      <w:pPr>
        <w:jc w:val="both"/>
        <w:rPr>
          <w:rFonts w:ascii="Margot Reg" w:hAnsi="Margot Reg"/>
        </w:rPr>
      </w:pPr>
      <w:r>
        <w:rPr>
          <w:rFonts w:ascii="Margot Reg" w:hAnsi="Margot Reg"/>
        </w:rPr>
        <w:t xml:space="preserve">H1 </w:t>
      </w:r>
      <w:r w:rsidR="00E66D6C">
        <w:rPr>
          <w:rFonts w:ascii="Margot Reg" w:hAnsi="Margot Reg"/>
        </w:rPr>
        <w:t xml:space="preserve"> podržava tvrdnje HAKOM-a u naprijed navedenom poglavlju Analiza tržišta, sukladno kojim tvrdnjama proizlazi kako su operatori pokretnih mreža u RH za sve pozive koji su započeli u zemljama EU/EEA, kao i za one pozive koji su započeli izvan zemalja EU/EEA, ali koji su </w:t>
      </w:r>
      <w:r w:rsidR="00EE5198">
        <w:rPr>
          <w:rFonts w:ascii="Margot Reg" w:hAnsi="Margot Reg"/>
        </w:rPr>
        <w:t>operatorima predani od strane EU/EEA operatora naplaćivali završavanje poziva/terminaciju po reguliranim cijenama.</w:t>
      </w:r>
    </w:p>
    <w:p w:rsidR="00EE5198" w:rsidRDefault="00EE5198" w:rsidP="00E66D6C">
      <w:pPr>
        <w:jc w:val="both"/>
        <w:rPr>
          <w:rFonts w:ascii="Margot Reg" w:hAnsi="Margot Reg"/>
        </w:rPr>
      </w:pPr>
    </w:p>
    <w:p w:rsidR="00EE5198" w:rsidRDefault="00EE5198" w:rsidP="00E66D6C">
      <w:pPr>
        <w:jc w:val="both"/>
        <w:rPr>
          <w:rFonts w:ascii="Margot Reg" w:hAnsi="Margot Reg"/>
        </w:rPr>
      </w:pPr>
      <w:r>
        <w:rPr>
          <w:rFonts w:ascii="Margot Reg" w:hAnsi="Margot Reg"/>
        </w:rPr>
        <w:t>S druge strane se događalo da operatori izvan zemalja EU/EEA, posebno susjedne zemlje u kojima započinje najveći udio prometa izvan EU/EEA zemalja koji završava u RH, naplaćivali cijene koje su znatno više od cijena koje je reguliralo hrvatsko tržište iz razloga što cijene operatora izvan EU/EEA nisu regulirane na način koji je obvezan za zemlje članice EU/EEA.</w:t>
      </w:r>
    </w:p>
    <w:p w:rsidR="00EE5198" w:rsidRDefault="00EE5198" w:rsidP="00E66D6C">
      <w:pPr>
        <w:jc w:val="both"/>
        <w:rPr>
          <w:rFonts w:ascii="Margot Reg" w:hAnsi="Margot Reg"/>
        </w:rPr>
      </w:pPr>
    </w:p>
    <w:p w:rsidR="00EE5198" w:rsidRDefault="00EE5198" w:rsidP="00E66D6C">
      <w:pPr>
        <w:jc w:val="both"/>
        <w:rPr>
          <w:rFonts w:ascii="Margot Reg" w:hAnsi="Margot Reg"/>
        </w:rPr>
      </w:pPr>
      <w:r>
        <w:rPr>
          <w:rFonts w:ascii="Margot Reg" w:hAnsi="Margot Reg"/>
        </w:rPr>
        <w:t>Naprijed navedeno je dovodilo do postojanja neravnopravnog položaja koji se sadašnjom regulacijom tržišta samo i isključivo unutar zemalja EU/EEA treba u cijelosti ukloniti.</w:t>
      </w:r>
    </w:p>
    <w:p w:rsidR="007E1FF7" w:rsidRDefault="007E1FF7" w:rsidP="00E66D6C">
      <w:pPr>
        <w:jc w:val="both"/>
        <w:rPr>
          <w:rFonts w:ascii="Margot Reg" w:hAnsi="Margot Reg"/>
        </w:rPr>
      </w:pPr>
    </w:p>
    <w:p w:rsidR="007E1FF7" w:rsidRDefault="007E1FF7" w:rsidP="00E66D6C">
      <w:pPr>
        <w:jc w:val="both"/>
        <w:rPr>
          <w:rFonts w:ascii="Margot Reg" w:hAnsi="Margot Reg"/>
          <w:b/>
        </w:rPr>
      </w:pPr>
      <w:r>
        <w:rPr>
          <w:rFonts w:ascii="Margot Reg" w:hAnsi="Margot Reg"/>
          <w:b/>
        </w:rPr>
        <w:t>Poglavlje 7.3. Obveza transparentnosti</w:t>
      </w:r>
    </w:p>
    <w:p w:rsidR="007E1FF7" w:rsidRDefault="007E1FF7" w:rsidP="00E66D6C">
      <w:pPr>
        <w:jc w:val="both"/>
        <w:rPr>
          <w:rFonts w:ascii="Margot Reg" w:hAnsi="Margot Reg"/>
          <w:b/>
        </w:rPr>
      </w:pPr>
    </w:p>
    <w:p w:rsidR="00401239" w:rsidRDefault="007E1FF7" w:rsidP="00E66D6C">
      <w:pPr>
        <w:jc w:val="both"/>
        <w:rPr>
          <w:rFonts w:ascii="Margot Reg" w:hAnsi="Margot Reg"/>
          <w:b/>
        </w:rPr>
      </w:pPr>
      <w:r>
        <w:rPr>
          <w:rFonts w:ascii="Margot Reg" w:hAnsi="Margot Reg"/>
        </w:rPr>
        <w:t>U odnosu na obv</w:t>
      </w:r>
      <w:r w:rsidR="00D77728">
        <w:rPr>
          <w:rFonts w:ascii="Margot Reg" w:hAnsi="Margot Reg"/>
        </w:rPr>
        <w:t xml:space="preserve">ezu transparentnosti </w:t>
      </w:r>
      <w:r>
        <w:rPr>
          <w:rFonts w:ascii="Margot Reg" w:hAnsi="Margot Reg"/>
        </w:rPr>
        <w:t>u dijelu koji se odnosi na obvezu operatora da u Standardnu ponudu o međupovezivanju ugradi određene</w:t>
      </w:r>
      <w:r w:rsidR="00401239">
        <w:rPr>
          <w:rFonts w:ascii="Margot Reg" w:hAnsi="Margot Reg"/>
        </w:rPr>
        <w:t xml:space="preserve"> odredbe</w:t>
      </w:r>
      <w:r w:rsidR="00D77728">
        <w:rPr>
          <w:rFonts w:ascii="Margot Reg" w:hAnsi="Margot Reg"/>
        </w:rPr>
        <w:t xml:space="preserve"> H1 Telekom </w:t>
      </w:r>
      <w:r w:rsidR="00401239">
        <w:rPr>
          <w:rFonts w:ascii="Margot Reg" w:hAnsi="Margot Reg"/>
        </w:rPr>
        <w:t xml:space="preserve"> </w:t>
      </w:r>
      <w:r w:rsidR="00401239" w:rsidRPr="00401239">
        <w:rPr>
          <w:rFonts w:ascii="Margot Reg" w:hAnsi="Margot Reg"/>
          <w:b/>
        </w:rPr>
        <w:t xml:space="preserve">navodi </w:t>
      </w:r>
      <w:r w:rsidR="00401239">
        <w:rPr>
          <w:rFonts w:ascii="Margot Reg" w:hAnsi="Margot Reg"/>
          <w:b/>
        </w:rPr>
        <w:t>kako u točci 6.</w:t>
      </w:r>
      <w:r w:rsidR="00D77728">
        <w:rPr>
          <w:rFonts w:ascii="Margot Reg" w:hAnsi="Margot Reg"/>
          <w:b/>
        </w:rPr>
        <w:t xml:space="preserve"> </w:t>
      </w:r>
      <w:r w:rsidR="00401239">
        <w:rPr>
          <w:rFonts w:ascii="Margot Reg" w:hAnsi="Margot Reg"/>
          <w:b/>
        </w:rPr>
        <w:t>strana 43. Tržišta završavanja glasovnih poziva u vlastitoj mobilnoj mreži stoji:</w:t>
      </w:r>
    </w:p>
    <w:p w:rsidR="00401239" w:rsidRDefault="00401239" w:rsidP="00401239">
      <w:pPr>
        <w:jc w:val="both"/>
        <w:rPr>
          <w:rFonts w:ascii="Margot Reg" w:hAnsi="Margot Reg"/>
          <w:b/>
        </w:rPr>
      </w:pPr>
    </w:p>
    <w:p w:rsidR="00401239" w:rsidRPr="00720C87" w:rsidRDefault="00401239" w:rsidP="00401239">
      <w:pPr>
        <w:numPr>
          <w:ilvl w:val="0"/>
          <w:numId w:val="4"/>
        </w:numPr>
        <w:jc w:val="both"/>
        <w:rPr>
          <w:rFonts w:ascii="Margot Reg" w:hAnsi="Margot Reg"/>
          <w:sz w:val="20"/>
          <w:szCs w:val="20"/>
        </w:rPr>
      </w:pPr>
      <w:r w:rsidRPr="003A2460">
        <w:rPr>
          <w:rFonts w:ascii="Margot Reg" w:hAnsi="Margot Reg"/>
          <w:i/>
          <w:sz w:val="20"/>
          <w:szCs w:val="20"/>
        </w:rPr>
        <w:t>Ukoliko se radi o dugovanju operatora koji nije obvezan dostavljati instrumente osiguranja plaćanja HT, Tele2, Vipnet mogu istome privremeno obustaviti pružanje usluge u roku od 30 dana od dana dospijeća.</w:t>
      </w:r>
    </w:p>
    <w:p w:rsidR="00720C87" w:rsidRPr="003A2460" w:rsidRDefault="00720C87" w:rsidP="00720C87">
      <w:pPr>
        <w:jc w:val="both"/>
        <w:rPr>
          <w:rFonts w:ascii="Margot Reg" w:hAnsi="Margot Reg"/>
          <w:sz w:val="20"/>
          <w:szCs w:val="20"/>
        </w:rPr>
      </w:pPr>
    </w:p>
    <w:p w:rsidR="00401239" w:rsidRDefault="00401239" w:rsidP="00401239">
      <w:pPr>
        <w:jc w:val="both"/>
        <w:rPr>
          <w:rFonts w:ascii="Margot Reg" w:hAnsi="Margot Reg"/>
          <w:b/>
        </w:rPr>
      </w:pPr>
    </w:p>
    <w:p w:rsidR="007E1FF7" w:rsidRPr="007E1FF7" w:rsidRDefault="00401239" w:rsidP="00401239">
      <w:pPr>
        <w:jc w:val="both"/>
        <w:rPr>
          <w:rFonts w:ascii="Margot Reg" w:hAnsi="Margot Reg"/>
        </w:rPr>
      </w:pPr>
      <w:r>
        <w:rPr>
          <w:rFonts w:ascii="Margot Reg" w:hAnsi="Margot Reg"/>
          <w:b/>
        </w:rPr>
        <w:lastRenderedPageBreak/>
        <w:t xml:space="preserve">H1 predlaže da točka 5. glasi: </w:t>
      </w:r>
    </w:p>
    <w:p w:rsidR="00F10B99" w:rsidRDefault="00F10B99" w:rsidP="00E66D6C">
      <w:pPr>
        <w:jc w:val="both"/>
        <w:rPr>
          <w:rFonts w:ascii="Margot Reg" w:hAnsi="Margot Reg"/>
        </w:rPr>
      </w:pPr>
    </w:p>
    <w:p w:rsidR="00401239" w:rsidRPr="003A2460" w:rsidRDefault="00401239" w:rsidP="00401239">
      <w:pPr>
        <w:numPr>
          <w:ilvl w:val="0"/>
          <w:numId w:val="4"/>
        </w:numPr>
        <w:jc w:val="both"/>
        <w:rPr>
          <w:rFonts w:ascii="Margot Reg" w:hAnsi="Margot Reg"/>
          <w:b/>
          <w:sz w:val="20"/>
          <w:szCs w:val="20"/>
          <w:u w:val="single"/>
        </w:rPr>
      </w:pPr>
      <w:r w:rsidRPr="003A2460">
        <w:rPr>
          <w:rFonts w:ascii="Margot Reg" w:hAnsi="Margot Reg"/>
          <w:b/>
          <w:sz w:val="20"/>
          <w:szCs w:val="20"/>
        </w:rPr>
        <w:t xml:space="preserve">Ukoliko se radi o dugovanju operatora koji nije obvezan dostavljati instrumente osiguranja plaćanja HT, Tele2, Vipnet mogu istome privremeno obustaviti pružanje </w:t>
      </w:r>
      <w:r w:rsidRPr="003A2460">
        <w:rPr>
          <w:rFonts w:ascii="Margot Reg" w:hAnsi="Margot Reg"/>
          <w:b/>
          <w:sz w:val="20"/>
          <w:szCs w:val="20"/>
          <w:u w:val="single"/>
        </w:rPr>
        <w:t xml:space="preserve">usluge </w:t>
      </w:r>
      <w:r w:rsidR="003A2460" w:rsidRPr="003A2460">
        <w:rPr>
          <w:rFonts w:ascii="Margot Reg" w:hAnsi="Margot Reg"/>
          <w:b/>
          <w:sz w:val="20"/>
          <w:szCs w:val="20"/>
          <w:u w:val="single"/>
        </w:rPr>
        <w:t xml:space="preserve">po isteku roka </w:t>
      </w:r>
      <w:r w:rsidRPr="003A2460">
        <w:rPr>
          <w:rFonts w:ascii="Margot Reg" w:hAnsi="Margot Reg"/>
          <w:b/>
          <w:sz w:val="20"/>
          <w:szCs w:val="20"/>
          <w:u w:val="single"/>
        </w:rPr>
        <w:t>od 30 dana od dana dospijeća.</w:t>
      </w:r>
    </w:p>
    <w:p w:rsidR="00401239" w:rsidRDefault="00401239" w:rsidP="00401239">
      <w:pPr>
        <w:jc w:val="both"/>
      </w:pPr>
    </w:p>
    <w:p w:rsidR="00401239" w:rsidRDefault="00401239" w:rsidP="00401239">
      <w:pPr>
        <w:jc w:val="both"/>
        <w:rPr>
          <w:rFonts w:ascii="Margot Reg" w:hAnsi="Margot Reg"/>
        </w:rPr>
      </w:pPr>
    </w:p>
    <w:p w:rsidR="00F10B99" w:rsidRDefault="00F10B99" w:rsidP="00E66D6C">
      <w:pPr>
        <w:jc w:val="both"/>
        <w:rPr>
          <w:rFonts w:ascii="Margot Reg" w:hAnsi="Margot Reg"/>
          <w:b/>
        </w:rPr>
      </w:pPr>
      <w:r>
        <w:rPr>
          <w:rFonts w:ascii="Margot Reg" w:hAnsi="Margot Reg"/>
          <w:b/>
        </w:rPr>
        <w:t>Poglavlje 7.4. Obveza nadzora cijena</w:t>
      </w:r>
    </w:p>
    <w:p w:rsidR="00F10B99" w:rsidRDefault="00F10B99" w:rsidP="00E66D6C">
      <w:pPr>
        <w:jc w:val="both"/>
        <w:rPr>
          <w:rFonts w:ascii="Margot Reg" w:hAnsi="Margot Reg"/>
          <w:b/>
        </w:rPr>
      </w:pPr>
    </w:p>
    <w:p w:rsidR="00F10B99" w:rsidRDefault="00F10B99" w:rsidP="00E66D6C">
      <w:pPr>
        <w:jc w:val="both"/>
        <w:rPr>
          <w:rFonts w:ascii="Margot Reg" w:hAnsi="Margot Reg"/>
        </w:rPr>
      </w:pPr>
      <w:r>
        <w:rPr>
          <w:rFonts w:ascii="Margot Reg" w:hAnsi="Margot Reg"/>
        </w:rPr>
        <w:t xml:space="preserve">U cilju sprječavanja prepreka razvoju tržišnog natjecanja HAKOM ovom Odlukom kroz Analizu tržišta određuje operatorima sa značajnom </w:t>
      </w:r>
      <w:r w:rsidR="007E1FF7">
        <w:rPr>
          <w:rFonts w:ascii="Margot Reg" w:hAnsi="Margot Reg"/>
        </w:rPr>
        <w:t xml:space="preserve">tržišnom snagom obvezu nadzora cijena kako slijedi: </w:t>
      </w:r>
    </w:p>
    <w:p w:rsidR="00F10B99" w:rsidRDefault="00F10B99" w:rsidP="00E66D6C">
      <w:pPr>
        <w:jc w:val="both"/>
        <w:rPr>
          <w:rFonts w:ascii="Margot Reg" w:hAnsi="Margot Reg"/>
        </w:rPr>
      </w:pPr>
    </w:p>
    <w:p w:rsidR="00F10B99" w:rsidRPr="00F10B99" w:rsidRDefault="00F10B99" w:rsidP="00F10B99">
      <w:pPr>
        <w:numPr>
          <w:ilvl w:val="0"/>
          <w:numId w:val="2"/>
        </w:numPr>
        <w:jc w:val="both"/>
        <w:rPr>
          <w:rFonts w:ascii="Margot Reg" w:hAnsi="Margot Reg"/>
          <w:sz w:val="20"/>
          <w:szCs w:val="20"/>
        </w:rPr>
      </w:pPr>
      <w:r w:rsidRPr="00F10B99">
        <w:rPr>
          <w:rFonts w:ascii="Margot Reg" w:hAnsi="Margot Reg"/>
          <w:sz w:val="20"/>
          <w:szCs w:val="20"/>
        </w:rPr>
        <w:t>uslugu završavanja glasovnih poziva u mrežu operatora HT, Tele2 i Vipnet započetih s A brojeva koji pripadaju nekom od nacionalnih ili EU/EEA operatora neovisno o mreži u kojoj je poziv započeo, pri čemu A broj operatoru koji ima mogućnost raspoznavanja A broja mora</w:t>
      </w:r>
      <w:r w:rsidR="007E1FF7">
        <w:rPr>
          <w:rFonts w:ascii="Margot Reg" w:hAnsi="Margot Reg"/>
          <w:sz w:val="20"/>
          <w:szCs w:val="20"/>
        </w:rPr>
        <w:t xml:space="preserve"> biti vidljiv.</w:t>
      </w:r>
    </w:p>
    <w:p w:rsidR="00635E56" w:rsidRDefault="00635E56" w:rsidP="00E66D6C">
      <w:pPr>
        <w:jc w:val="both"/>
        <w:rPr>
          <w:rFonts w:ascii="Margot Reg" w:hAnsi="Margot Reg"/>
        </w:rPr>
      </w:pPr>
    </w:p>
    <w:p w:rsidR="00A80798" w:rsidRDefault="00A80798" w:rsidP="00E66D6C">
      <w:pPr>
        <w:jc w:val="both"/>
        <w:rPr>
          <w:rFonts w:ascii="Margot Reg" w:hAnsi="Margot Reg"/>
        </w:rPr>
      </w:pPr>
      <w:r>
        <w:rPr>
          <w:rFonts w:ascii="Margot Reg" w:hAnsi="Margot Reg"/>
        </w:rPr>
        <w:t>H1 Telekom u odnosu na naprijed navedeno drži da bi moglo doći do određenih problema pri implementaciji kod biling-a, odnosno prilikom obračuna bi moglo doći do situacije da A broj s kojeg dolazi poziv bude u mreži operatora prikazan kao broj koji ne dolazi iz zemalja EU/EEA, a što doista ne bi bilo tako, isto je i u slučaju kada bi A broj dolazio iz z</w:t>
      </w:r>
      <w:r w:rsidR="00D069AC">
        <w:rPr>
          <w:rFonts w:ascii="Margot Reg" w:hAnsi="Margot Reg"/>
        </w:rPr>
        <w:t>emalja koje nisu članice EU/EEA, ali preko operatora iz zemalja članica EU/EEA.</w:t>
      </w:r>
    </w:p>
    <w:p w:rsidR="00A80798" w:rsidRDefault="00A80798" w:rsidP="00E66D6C">
      <w:pPr>
        <w:jc w:val="both"/>
        <w:rPr>
          <w:rFonts w:ascii="Margot Reg" w:hAnsi="Margot Reg"/>
        </w:rPr>
      </w:pPr>
    </w:p>
    <w:p w:rsidR="00A80798" w:rsidRDefault="00A80798" w:rsidP="00E66D6C">
      <w:pPr>
        <w:jc w:val="both"/>
        <w:rPr>
          <w:rFonts w:ascii="Margot Reg" w:hAnsi="Margot Reg"/>
        </w:rPr>
      </w:pPr>
      <w:r>
        <w:rPr>
          <w:rFonts w:ascii="Margot Reg" w:hAnsi="Margot Reg"/>
        </w:rPr>
        <w:t>Navedeni slučaj bi u konačnici utjecao na krajnjeg korisnika kod kojeg bi završavao poziv koji je upućen s A broja.</w:t>
      </w:r>
    </w:p>
    <w:p w:rsidR="00F10B99" w:rsidRDefault="00F10B99" w:rsidP="00E66D6C">
      <w:pPr>
        <w:jc w:val="both"/>
        <w:rPr>
          <w:rFonts w:ascii="Margot Reg" w:hAnsi="Margot Reg"/>
        </w:rPr>
      </w:pPr>
    </w:p>
    <w:p w:rsidR="00EE5198" w:rsidRDefault="00F10B99" w:rsidP="00E66D6C">
      <w:pPr>
        <w:jc w:val="both"/>
        <w:rPr>
          <w:rFonts w:ascii="Margot Reg" w:hAnsi="Margot Reg"/>
        </w:rPr>
      </w:pPr>
      <w:r>
        <w:rPr>
          <w:rFonts w:ascii="Margot Reg" w:hAnsi="Margot Reg"/>
        </w:rPr>
        <w:t xml:space="preserve">U odnosu na činjenicu da svi operatori nemaju razvijen sustav raspoznavanja A broja s kojeg je poziv započeo, te da to zahtjeva određena ulaganja, također pozdravljamo činjenicu da se do implementacije navedenih sustava primjenjuje dosadašnja regulacija, odnosno nadzor cijena </w:t>
      </w:r>
      <w:r w:rsidR="007E1FF7">
        <w:rPr>
          <w:rFonts w:ascii="Margot Reg" w:hAnsi="Margot Reg"/>
        </w:rPr>
        <w:t>se primjenjuje na uslugu završavanja (terminacije) poziva u mrežu operatora HT, Tele2; Vipnet predanih iz mreže nekog od nacionalnih ili EU/EEA operatora neovisno o mreži u kojoj je poziv započeo</w:t>
      </w:r>
      <w:r w:rsidR="00F9292E">
        <w:rPr>
          <w:rFonts w:ascii="Margot Reg" w:hAnsi="Margot Reg"/>
        </w:rPr>
        <w:t>.</w:t>
      </w:r>
    </w:p>
    <w:p w:rsidR="00F9292E" w:rsidRDefault="00F9292E" w:rsidP="00E66D6C">
      <w:pPr>
        <w:jc w:val="both"/>
        <w:rPr>
          <w:rFonts w:ascii="Margot Reg" w:hAnsi="Margot Reg"/>
        </w:rPr>
      </w:pPr>
    </w:p>
    <w:p w:rsidR="00F9292E" w:rsidRDefault="00F9292E" w:rsidP="00E66D6C">
      <w:pPr>
        <w:jc w:val="both"/>
        <w:rPr>
          <w:rFonts w:ascii="Margot Reg" w:hAnsi="Margot Reg"/>
        </w:rPr>
      </w:pPr>
      <w:r>
        <w:rPr>
          <w:rFonts w:ascii="Margot Reg" w:hAnsi="Margot Reg"/>
        </w:rPr>
        <w:t xml:space="preserve">Navedenom Odlukom međutim bi svakako trebalo definirati okvirno početak primjene deregulacije predmetnih poziva obzirom da ista ovisi o momentu implementacije, obzirom da svi operatori sa značajnom tržišnom snagom na tržištu neće istovremeno </w:t>
      </w:r>
      <w:r w:rsidR="005F0236">
        <w:rPr>
          <w:rFonts w:ascii="Margot Reg" w:hAnsi="Margot Reg"/>
        </w:rPr>
        <w:t>realizirati implementaciju.</w:t>
      </w:r>
    </w:p>
    <w:p w:rsidR="00493F51" w:rsidRDefault="00493F51" w:rsidP="00E66D6C">
      <w:pPr>
        <w:jc w:val="both"/>
        <w:rPr>
          <w:rFonts w:ascii="Margot Reg" w:hAnsi="Margot Reg"/>
        </w:rPr>
      </w:pPr>
    </w:p>
    <w:p w:rsidR="0096372F" w:rsidRDefault="00493F51" w:rsidP="00E66D6C">
      <w:pPr>
        <w:jc w:val="both"/>
        <w:rPr>
          <w:rFonts w:ascii="Margot Reg" w:hAnsi="Margot Reg"/>
        </w:rPr>
      </w:pPr>
      <w:r>
        <w:rPr>
          <w:rFonts w:ascii="Margot Reg" w:hAnsi="Margot Reg"/>
        </w:rPr>
        <w:t>H1</w:t>
      </w:r>
      <w:r w:rsidR="0096372F">
        <w:rPr>
          <w:rFonts w:ascii="Margot Reg" w:hAnsi="Margot Reg"/>
        </w:rPr>
        <w:t xml:space="preserve"> Telekom ističe kako podržava identičnu primjenu predložene deregulacije na tržištu završavanja poziva u određenu javnu komunikacijsku mrežu koja se pruža na fiksnoj lokaciji, obzirom da je svakako nužno zaštititi interese RH operatora nepokretnih mreža, a, koji se nalaze u podređenom položaju, posebno u odnosu na zemlje koje nisu članice EU/EEA. </w:t>
      </w:r>
    </w:p>
    <w:p w:rsidR="0096372F" w:rsidRDefault="0096372F" w:rsidP="00E66D6C">
      <w:pPr>
        <w:jc w:val="both"/>
        <w:rPr>
          <w:rFonts w:ascii="Margot Reg" w:hAnsi="Margot Reg"/>
        </w:rPr>
      </w:pPr>
    </w:p>
    <w:p w:rsidR="00493F51" w:rsidRDefault="0096372F" w:rsidP="00E66D6C">
      <w:pPr>
        <w:jc w:val="both"/>
        <w:rPr>
          <w:rFonts w:ascii="Margot Reg" w:hAnsi="Margot Reg"/>
        </w:rPr>
      </w:pPr>
      <w:r>
        <w:rPr>
          <w:rFonts w:ascii="Margot Reg" w:hAnsi="Margot Reg"/>
        </w:rPr>
        <w:t xml:space="preserve">Obzirom na naprijed navedeno smatramo nužnim da se odredi isti datum početka primjene deregulacije kako za mobilnu tako i za fiksnu mrežu. </w:t>
      </w:r>
    </w:p>
    <w:p w:rsidR="0096372F" w:rsidRDefault="0096372F" w:rsidP="00E66D6C">
      <w:pPr>
        <w:jc w:val="both"/>
        <w:rPr>
          <w:rFonts w:ascii="Margot Reg" w:hAnsi="Margot Reg"/>
        </w:rPr>
      </w:pPr>
    </w:p>
    <w:p w:rsidR="0096372F" w:rsidRDefault="0096372F" w:rsidP="00E66D6C">
      <w:pPr>
        <w:jc w:val="both"/>
        <w:rPr>
          <w:rFonts w:ascii="Margot Reg" w:hAnsi="Margot Reg"/>
        </w:rPr>
      </w:pPr>
    </w:p>
    <w:p w:rsidR="0096372F" w:rsidRDefault="0096372F" w:rsidP="00E66D6C">
      <w:pPr>
        <w:jc w:val="both"/>
        <w:rPr>
          <w:rFonts w:ascii="Margot Reg" w:hAnsi="Margot Reg"/>
        </w:rPr>
      </w:pPr>
    </w:p>
    <w:p w:rsidR="0096372F" w:rsidRPr="0096372F" w:rsidRDefault="0096372F" w:rsidP="00E66D6C">
      <w:pPr>
        <w:jc w:val="both"/>
        <w:rPr>
          <w:rFonts w:ascii="Margot Reg" w:hAnsi="Margot Reg"/>
          <w:b/>
        </w:rPr>
      </w:pPr>
      <w:r>
        <w:rPr>
          <w:rFonts w:ascii="Margot Reg" w:hAnsi="Margot Reg"/>
          <w:b/>
        </w:rPr>
        <w:t>H1 TELEKOM d.d.</w:t>
      </w:r>
    </w:p>
    <w:p w:rsidR="00A62A93" w:rsidRDefault="00A62A93" w:rsidP="00E66D6C">
      <w:pPr>
        <w:jc w:val="both"/>
        <w:rPr>
          <w:rFonts w:ascii="Margot Reg" w:hAnsi="Margot Reg"/>
        </w:rPr>
      </w:pPr>
    </w:p>
    <w:sectPr w:rsidR="00A62A93" w:rsidSect="00664A36">
      <w:footerReference w:type="default" r:id="rId8"/>
      <w:headerReference w:type="first" r:id="rId9"/>
      <w:footerReference w:type="first" r:id="rId10"/>
      <w:pgSz w:w="11906" w:h="16838"/>
      <w:pgMar w:top="1952" w:right="1416" w:bottom="1418" w:left="1418" w:header="0" w:footer="25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74B9" w:rsidRDefault="001174B9">
      <w:r>
        <w:separator/>
      </w:r>
    </w:p>
  </w:endnote>
  <w:endnote w:type="continuationSeparator" w:id="1">
    <w:p w:rsidR="001174B9" w:rsidRDefault="001174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got Reg">
    <w:panose1 w:val="00000000000000000000"/>
    <w:charset w:val="EE"/>
    <w:family w:val="auto"/>
    <w:pitch w:val="variable"/>
    <w:sig w:usb0="A00000AF" w:usb1="5000204A" w:usb2="00000000" w:usb3="00000000" w:csb0="000001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rgot">
    <w:altName w:val="Corbel"/>
    <w:panose1 w:val="020B0303030504020204"/>
    <w:charset w:val="EE"/>
    <w:family w:val="swiss"/>
    <w:pitch w:val="variable"/>
    <w:sig w:usb0="00000001" w:usb1="4000205B" w:usb2="00000000" w:usb3="00000000" w:csb0="0000009B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AB0" w:rsidRDefault="0096372F">
    <w:pPr>
      <w:pStyle w:val="Footer"/>
    </w:pPr>
    <w:r>
      <w:rPr>
        <w:noProof/>
        <w:lang w:eastAsia="hr-H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-453390</wp:posOffset>
          </wp:positionV>
          <wp:extent cx="7593330" cy="627380"/>
          <wp:effectExtent l="19050" t="0" r="7620" b="0"/>
          <wp:wrapThrough wrapText="bothSides">
            <wp:wrapPolygon edited="0">
              <wp:start x="-54" y="0"/>
              <wp:lineTo x="-54" y="20988"/>
              <wp:lineTo x="21622" y="20988"/>
              <wp:lineTo x="21622" y="0"/>
              <wp:lineTo x="-54" y="0"/>
            </wp:wrapPolygon>
          </wp:wrapThrough>
          <wp:docPr id="32" name="Picture 32" descr="H1_footer_regionalni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H1_footer_regionalni_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330" cy="627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AB0" w:rsidRDefault="0096372F">
    <w:pPr>
      <w:pStyle w:val="Footer"/>
    </w:pPr>
    <w:r>
      <w:rPr>
        <w:noProof/>
        <w:lang w:eastAsia="hr-H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-579120</wp:posOffset>
          </wp:positionV>
          <wp:extent cx="7847965" cy="753110"/>
          <wp:effectExtent l="19050" t="0" r="635" b="0"/>
          <wp:wrapThrough wrapText="bothSides">
            <wp:wrapPolygon edited="0">
              <wp:start x="-52" y="0"/>
              <wp:lineTo x="-52" y="21309"/>
              <wp:lineTo x="21602" y="21309"/>
              <wp:lineTo x="21602" y="0"/>
              <wp:lineTo x="-52" y="0"/>
            </wp:wrapPolygon>
          </wp:wrapThrough>
          <wp:docPr id="34" name="Picture 34" descr="H1_footer_regionalni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H1_footer_regionalni_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65" cy="753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74B9" w:rsidRDefault="001174B9">
      <w:r>
        <w:separator/>
      </w:r>
    </w:p>
  </w:footnote>
  <w:footnote w:type="continuationSeparator" w:id="1">
    <w:p w:rsidR="001174B9" w:rsidRDefault="001174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A36" w:rsidRPr="00557AB0" w:rsidRDefault="0096372F" w:rsidP="00664A36">
    <w:pPr>
      <w:rPr>
        <w:rFonts w:ascii="Margot" w:hAnsi="Margot"/>
      </w:rPr>
    </w:pPr>
    <w:r>
      <w:rPr>
        <w:noProof/>
        <w:lang w:eastAsia="hr-H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-895985</wp:posOffset>
          </wp:positionH>
          <wp:positionV relativeFrom="paragraph">
            <wp:posOffset>-9525</wp:posOffset>
          </wp:positionV>
          <wp:extent cx="7516495" cy="1143000"/>
          <wp:effectExtent l="19050" t="0" r="8255" b="0"/>
          <wp:wrapThrough wrapText="bothSides">
            <wp:wrapPolygon edited="0">
              <wp:start x="-55" y="0"/>
              <wp:lineTo x="-55" y="21240"/>
              <wp:lineTo x="21624" y="21240"/>
              <wp:lineTo x="21624" y="0"/>
              <wp:lineTo x="-55" y="0"/>
            </wp:wrapPolygon>
          </wp:wrapThrough>
          <wp:docPr id="30" name="Picture 30" descr="H1_header_regionalni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H1_header_regionalni_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6495" cy="114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9293A" w:rsidRDefault="0079293A" w:rsidP="00905057">
    <w:pPr>
      <w:pStyle w:val="Header"/>
      <w:ind w:left="-14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07C70"/>
    <w:multiLevelType w:val="hybridMultilevel"/>
    <w:tmpl w:val="C87481FA"/>
    <w:lvl w:ilvl="0" w:tplc="E8C0CB0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33305"/>
    <w:multiLevelType w:val="hybridMultilevel"/>
    <w:tmpl w:val="AE92BE5E"/>
    <w:lvl w:ilvl="0" w:tplc="D1CC0226">
      <w:start w:val="1"/>
      <w:numFmt w:val="bullet"/>
      <w:lvlText w:val="-"/>
      <w:lvlJc w:val="left"/>
      <w:pPr>
        <w:ind w:left="720" w:hanging="360"/>
      </w:pPr>
      <w:rPr>
        <w:rFonts w:ascii="Margot Reg" w:eastAsia="Times New Roman" w:hAnsi="Margot Reg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963EB7"/>
    <w:multiLevelType w:val="hybridMultilevel"/>
    <w:tmpl w:val="47FCEE56"/>
    <w:lvl w:ilvl="0" w:tplc="AB824750">
      <w:start w:val="1"/>
      <w:numFmt w:val="decimal"/>
      <w:lvlText w:val="%1."/>
      <w:lvlJc w:val="left"/>
      <w:pPr>
        <w:ind w:left="720" w:hanging="360"/>
      </w:pPr>
      <w:rPr>
        <w:rFonts w:ascii="Margot Reg" w:hAnsi="Margot Reg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953858"/>
    <w:multiLevelType w:val="hybridMultilevel"/>
    <w:tmpl w:val="AF34FB3A"/>
    <w:lvl w:ilvl="0" w:tplc="F6E2D8CC">
      <w:start w:val="1"/>
      <w:numFmt w:val="bullet"/>
      <w:lvlText w:val="-"/>
      <w:lvlJc w:val="left"/>
      <w:pPr>
        <w:ind w:left="720" w:hanging="360"/>
      </w:pPr>
      <w:rPr>
        <w:rFonts w:ascii="Margot Reg" w:eastAsia="Times New Roman" w:hAnsi="Margot Reg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5F3CD4"/>
    <w:rsid w:val="0000365E"/>
    <w:rsid w:val="00005B56"/>
    <w:rsid w:val="000343A6"/>
    <w:rsid w:val="00093E67"/>
    <w:rsid w:val="000B2ED0"/>
    <w:rsid w:val="000B30DF"/>
    <w:rsid w:val="000C0C36"/>
    <w:rsid w:val="000C12E1"/>
    <w:rsid w:val="00105F5F"/>
    <w:rsid w:val="001174B9"/>
    <w:rsid w:val="001266C6"/>
    <w:rsid w:val="0018307F"/>
    <w:rsid w:val="00186AC9"/>
    <w:rsid w:val="00187248"/>
    <w:rsid w:val="00196716"/>
    <w:rsid w:val="001C0C79"/>
    <w:rsid w:val="001D421E"/>
    <w:rsid w:val="001F6014"/>
    <w:rsid w:val="002101AE"/>
    <w:rsid w:val="002423A1"/>
    <w:rsid w:val="002577C1"/>
    <w:rsid w:val="002F135A"/>
    <w:rsid w:val="00342F3F"/>
    <w:rsid w:val="00352868"/>
    <w:rsid w:val="00354AF1"/>
    <w:rsid w:val="00391275"/>
    <w:rsid w:val="003955D8"/>
    <w:rsid w:val="003A2460"/>
    <w:rsid w:val="003C4568"/>
    <w:rsid w:val="003C6BE8"/>
    <w:rsid w:val="00401239"/>
    <w:rsid w:val="00410002"/>
    <w:rsid w:val="004623A6"/>
    <w:rsid w:val="00473328"/>
    <w:rsid w:val="00493F51"/>
    <w:rsid w:val="004B0034"/>
    <w:rsid w:val="004E6779"/>
    <w:rsid w:val="005249AE"/>
    <w:rsid w:val="00557AB0"/>
    <w:rsid w:val="00566ACD"/>
    <w:rsid w:val="00567020"/>
    <w:rsid w:val="005839D8"/>
    <w:rsid w:val="005E244C"/>
    <w:rsid w:val="005F0236"/>
    <w:rsid w:val="005F3CD4"/>
    <w:rsid w:val="005F6766"/>
    <w:rsid w:val="00635E56"/>
    <w:rsid w:val="00654FC4"/>
    <w:rsid w:val="00660957"/>
    <w:rsid w:val="00664A36"/>
    <w:rsid w:val="00677368"/>
    <w:rsid w:val="006E3EC8"/>
    <w:rsid w:val="00720C87"/>
    <w:rsid w:val="00790494"/>
    <w:rsid w:val="0079293A"/>
    <w:rsid w:val="007B667E"/>
    <w:rsid w:val="007D076A"/>
    <w:rsid w:val="007E1FF7"/>
    <w:rsid w:val="008B19BE"/>
    <w:rsid w:val="008B31B0"/>
    <w:rsid w:val="00905057"/>
    <w:rsid w:val="00913370"/>
    <w:rsid w:val="009224CA"/>
    <w:rsid w:val="00934353"/>
    <w:rsid w:val="009343C8"/>
    <w:rsid w:val="0096372F"/>
    <w:rsid w:val="00977D97"/>
    <w:rsid w:val="00997CCB"/>
    <w:rsid w:val="009B302A"/>
    <w:rsid w:val="009D503F"/>
    <w:rsid w:val="00A62A93"/>
    <w:rsid w:val="00A80798"/>
    <w:rsid w:val="00A86A18"/>
    <w:rsid w:val="00B4491B"/>
    <w:rsid w:val="00B8476A"/>
    <w:rsid w:val="00BB2586"/>
    <w:rsid w:val="00BB7E97"/>
    <w:rsid w:val="00BF3DE6"/>
    <w:rsid w:val="00C9729F"/>
    <w:rsid w:val="00CB5014"/>
    <w:rsid w:val="00D03F05"/>
    <w:rsid w:val="00D069AC"/>
    <w:rsid w:val="00D15888"/>
    <w:rsid w:val="00D41671"/>
    <w:rsid w:val="00D460B9"/>
    <w:rsid w:val="00D775AA"/>
    <w:rsid w:val="00D77728"/>
    <w:rsid w:val="00DB3F19"/>
    <w:rsid w:val="00DD3570"/>
    <w:rsid w:val="00DE4B86"/>
    <w:rsid w:val="00DF2C3D"/>
    <w:rsid w:val="00E0768D"/>
    <w:rsid w:val="00E66D6C"/>
    <w:rsid w:val="00E71B9B"/>
    <w:rsid w:val="00E93224"/>
    <w:rsid w:val="00EC57EE"/>
    <w:rsid w:val="00EE5198"/>
    <w:rsid w:val="00EF6A0B"/>
    <w:rsid w:val="00F10B99"/>
    <w:rsid w:val="00F32078"/>
    <w:rsid w:val="00F56808"/>
    <w:rsid w:val="00F70576"/>
    <w:rsid w:val="00F71865"/>
    <w:rsid w:val="00F81DEE"/>
    <w:rsid w:val="00F92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71B9B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F3CD4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5F3CD4"/>
    <w:pPr>
      <w:tabs>
        <w:tab w:val="center" w:pos="4536"/>
        <w:tab w:val="right" w:pos="9072"/>
      </w:tabs>
    </w:pPr>
  </w:style>
  <w:style w:type="character" w:styleId="Hyperlink">
    <w:name w:val="Hyperlink"/>
    <w:rsid w:val="00DE4B8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E4B86"/>
    <w:pPr>
      <w:spacing w:before="100" w:beforeAutospacing="1" w:after="100" w:afterAutospacing="1"/>
    </w:pPr>
    <w:rPr>
      <w:lang w:eastAsia="hr-HR"/>
    </w:rPr>
  </w:style>
  <w:style w:type="character" w:customStyle="1" w:styleId="apple-converted-space">
    <w:name w:val="apple-converted-space"/>
    <w:rsid w:val="00DE4B86"/>
  </w:style>
  <w:style w:type="character" w:styleId="CommentReference">
    <w:name w:val="annotation reference"/>
    <w:basedOn w:val="DefaultParagraphFont"/>
    <w:rsid w:val="00A62A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62A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62A9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62A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62A93"/>
    <w:rPr>
      <w:b/>
      <w:bCs/>
    </w:rPr>
  </w:style>
  <w:style w:type="paragraph" w:styleId="BalloonText">
    <w:name w:val="Balloon Text"/>
    <w:basedOn w:val="Normal"/>
    <w:link w:val="BalloonTextChar"/>
    <w:rsid w:val="00A62A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2A9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7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AEC5C-E901-42DD-83FE-B36DA351C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708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 REGIJE</vt:lpstr>
    </vt:vector>
  </TitlesOfParts>
  <Company>H1 TELEKOM</Company>
  <LinksUpToDate>false</LinksUpToDate>
  <CharactersWithSpaces>4736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REGIJE</dc:title>
  <dc:creator>H1 TELEKOM</dc:creator>
  <cp:lastModifiedBy>hcerina</cp:lastModifiedBy>
  <cp:revision>7</cp:revision>
  <cp:lastPrinted>2014-09-24T12:15:00Z</cp:lastPrinted>
  <dcterms:created xsi:type="dcterms:W3CDTF">2015-01-29T14:57:00Z</dcterms:created>
  <dcterms:modified xsi:type="dcterms:W3CDTF">2015-01-30T09:17:00Z</dcterms:modified>
</cp:coreProperties>
</file>